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7340" w:rsidRDefault="00D97340">
      <w:pPr>
        <w:pBdr>
          <w:top w:val="nil"/>
          <w:left w:val="nil"/>
          <w:bottom w:val="nil"/>
          <w:right w:val="nil"/>
          <w:between w:val="nil"/>
        </w:pBdr>
        <w:tabs>
          <w:tab w:val="left" w:pos="1985"/>
        </w:tabs>
        <w:spacing w:before="120" w:after="120"/>
        <w:ind w:left="1656" w:hanging="720"/>
        <w:rPr>
          <w:rFonts w:ascii="Arial" w:eastAsia="Arial" w:hAnsi="Arial"/>
          <w:b/>
          <w:color w:val="000000"/>
          <w:sz w:val="36"/>
          <w:szCs w:val="36"/>
        </w:rPr>
      </w:pPr>
    </w:p>
    <w:p w:rsidR="00D97340" w:rsidRDefault="00BB73AE">
      <w:pPr>
        <w:keepNext/>
        <w:jc w:val="left"/>
        <w:rPr>
          <w:rFonts w:ascii="Arial" w:eastAsia="Arial" w:hAnsi="Arial"/>
          <w:b/>
          <w:sz w:val="36"/>
          <w:szCs w:val="36"/>
        </w:rPr>
      </w:pPr>
      <w:r>
        <w:rPr>
          <w:rFonts w:ascii="Arial" w:eastAsia="Arial" w:hAnsi="Arial"/>
          <w:b/>
          <w:sz w:val="36"/>
          <w:szCs w:val="36"/>
        </w:rPr>
        <w:t>Joint Schedule 14 (Benchmarking)</w:t>
      </w:r>
    </w:p>
    <w:p w:rsidR="00D97340" w:rsidRDefault="00BB73AE">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DEFINITIONS</w:t>
      </w:r>
    </w:p>
    <w:p w:rsidR="00D97340" w:rsidRDefault="00BB73AE">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In this Schedule, the following expressions shall have the following meanings:</w:t>
      </w:r>
    </w:p>
    <w:tbl>
      <w:tblPr>
        <w:tblStyle w:val="a"/>
        <w:tblW w:w="8042" w:type="dxa"/>
        <w:tblInd w:w="1008" w:type="dxa"/>
        <w:tblLayout w:type="fixed"/>
        <w:tblLook w:val="0400" w:firstRow="0" w:lastRow="0" w:firstColumn="0" w:lastColumn="0" w:noHBand="0" w:noVBand="1"/>
      </w:tblPr>
      <w:tblGrid>
        <w:gridCol w:w="2900"/>
        <w:gridCol w:w="5142"/>
      </w:tblGrid>
      <w:tr w:rsidR="00D97340">
        <w:tc>
          <w:tcPr>
            <w:tcW w:w="2900" w:type="dxa"/>
            <w:shd w:val="clear" w:color="auto" w:fill="auto"/>
          </w:tcPr>
          <w:p w:rsidR="00D97340" w:rsidRDefault="00BB73AE">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"Benchmark Review</w:t>
            </w:r>
            <w:bookmarkStart w:id="0" w:name="_GoBack"/>
            <w:bookmarkEnd w:id="0"/>
            <w:r>
              <w:rPr>
                <w:rFonts w:ascii="Arial" w:eastAsia="Arial" w:hAnsi="Arial"/>
                <w:b/>
                <w:color w:val="000000"/>
                <w:sz w:val="24"/>
                <w:szCs w:val="24"/>
              </w:rPr>
              <w:t>"</w:t>
            </w:r>
          </w:p>
        </w:tc>
        <w:tc>
          <w:tcPr>
            <w:tcW w:w="5142" w:type="dxa"/>
            <w:shd w:val="clear" w:color="auto" w:fill="auto"/>
          </w:tcPr>
          <w:p w:rsidR="00D97340" w:rsidRDefault="00BB73AE">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 review of the Deliverables carried out in accordance with this Schedule to determine whether those Deliverables represent Good Value;</w:t>
            </w:r>
          </w:p>
        </w:tc>
      </w:tr>
      <w:tr w:rsidR="00D97340">
        <w:tc>
          <w:tcPr>
            <w:tcW w:w="2900" w:type="dxa"/>
            <w:shd w:val="clear" w:color="auto" w:fill="auto"/>
          </w:tcPr>
          <w:p w:rsidR="00D97340" w:rsidRDefault="00BB73AE">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"Benchmarked Deliverables"</w:t>
            </w:r>
          </w:p>
        </w:tc>
        <w:tc>
          <w:tcPr>
            <w:tcW w:w="5142" w:type="dxa"/>
            <w:shd w:val="clear" w:color="auto" w:fill="auto"/>
          </w:tcPr>
          <w:p w:rsidR="00D97340" w:rsidRDefault="00BB73AE">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any Deliverables included within the scope of a Benchmark Review pursuant to this Schedule;</w:t>
            </w:r>
          </w:p>
        </w:tc>
      </w:tr>
      <w:tr w:rsidR="00D97340">
        <w:tc>
          <w:tcPr>
            <w:tcW w:w="2900" w:type="dxa"/>
            <w:shd w:val="clear" w:color="auto" w:fill="auto"/>
          </w:tcPr>
          <w:p w:rsidR="00D97340" w:rsidRDefault="00BB73AE">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"Comparable Rates"</w:t>
            </w:r>
          </w:p>
        </w:tc>
        <w:tc>
          <w:tcPr>
            <w:tcW w:w="5142" w:type="dxa"/>
            <w:shd w:val="clear" w:color="auto" w:fill="auto"/>
          </w:tcPr>
          <w:p w:rsidR="00D97340" w:rsidRDefault="00BB73AE">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Charges for Comparable Deliverables;</w:t>
            </w:r>
          </w:p>
        </w:tc>
      </w:tr>
      <w:tr w:rsidR="00D97340">
        <w:tc>
          <w:tcPr>
            <w:tcW w:w="2900" w:type="dxa"/>
            <w:shd w:val="clear" w:color="auto" w:fill="auto"/>
          </w:tcPr>
          <w:p w:rsidR="00D97340" w:rsidRDefault="00BB73AE">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"Comparable Deliverables"</w:t>
            </w:r>
          </w:p>
        </w:tc>
        <w:tc>
          <w:tcPr>
            <w:tcW w:w="5142" w:type="dxa"/>
            <w:shd w:val="clear" w:color="auto" w:fill="auto"/>
          </w:tcPr>
          <w:p w:rsidR="00D97340" w:rsidRDefault="00BB73AE">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 xml:space="preserve">deliverables that are identical or materially similar to the Benchmarked Deliverables (including in terms of scope, specification, volume and quality of performance) provided that if no identical or materially similar Deliverables exist in the market, the </w:t>
            </w:r>
            <w:r>
              <w:rPr>
                <w:rFonts w:ascii="Arial" w:eastAsia="Arial" w:hAnsi="Arial"/>
                <w:color w:val="000000"/>
                <w:sz w:val="24"/>
                <w:szCs w:val="24"/>
              </w:rPr>
              <w:t>Supplier shall propose an approach for developing a comparable Deliverables benchmark;</w:t>
            </w:r>
          </w:p>
        </w:tc>
      </w:tr>
      <w:tr w:rsidR="00D97340">
        <w:tc>
          <w:tcPr>
            <w:tcW w:w="2900" w:type="dxa"/>
            <w:shd w:val="clear" w:color="auto" w:fill="auto"/>
          </w:tcPr>
          <w:p w:rsidR="00D97340" w:rsidRDefault="00BB73AE">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"Comparison Group"</w:t>
            </w:r>
          </w:p>
        </w:tc>
        <w:tc>
          <w:tcPr>
            <w:tcW w:w="5142" w:type="dxa"/>
            <w:shd w:val="clear" w:color="auto" w:fill="auto"/>
          </w:tcPr>
          <w:p w:rsidR="00D97340" w:rsidRDefault="00BB73AE">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 sample group of organisations providing Comparable Deliverables which consists of organisations which are either of similar size to the Supplier or</w:t>
            </w:r>
            <w:r>
              <w:rPr>
                <w:rFonts w:ascii="Arial" w:eastAsia="Arial" w:hAnsi="Arial"/>
                <w:color w:val="000000"/>
                <w:sz w:val="24"/>
                <w:szCs w:val="24"/>
              </w:rPr>
              <w:t xml:space="preserve"> which are similarly structured in terms of their business and their service offering so as to be fair comparators with the Supplier or which, are best practice organisations;</w:t>
            </w:r>
          </w:p>
        </w:tc>
      </w:tr>
      <w:tr w:rsidR="00D97340">
        <w:tc>
          <w:tcPr>
            <w:tcW w:w="2900" w:type="dxa"/>
            <w:shd w:val="clear" w:color="auto" w:fill="auto"/>
          </w:tcPr>
          <w:p w:rsidR="00D97340" w:rsidRDefault="00BB73AE">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"Equivalent Data"</w:t>
            </w:r>
          </w:p>
        </w:tc>
        <w:tc>
          <w:tcPr>
            <w:tcW w:w="5142" w:type="dxa"/>
            <w:shd w:val="clear" w:color="auto" w:fill="auto"/>
          </w:tcPr>
          <w:p w:rsidR="00D97340" w:rsidRDefault="00BB73AE">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 xml:space="preserve">data derived from an analysis of the Comparable Rates and/or </w:t>
            </w:r>
            <w:r>
              <w:rPr>
                <w:rFonts w:ascii="Arial" w:eastAsia="Arial" w:hAnsi="Arial"/>
                <w:color w:val="000000"/>
                <w:sz w:val="24"/>
                <w:szCs w:val="24"/>
              </w:rPr>
              <w:t>the Comparable Deliverables (as applicable) provided by the Comparison Group;</w:t>
            </w:r>
          </w:p>
        </w:tc>
      </w:tr>
      <w:tr w:rsidR="00D97340">
        <w:tc>
          <w:tcPr>
            <w:tcW w:w="2900" w:type="dxa"/>
            <w:shd w:val="clear" w:color="auto" w:fill="auto"/>
          </w:tcPr>
          <w:p w:rsidR="00D97340" w:rsidRDefault="00BB73AE">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"Good Value"</w:t>
            </w:r>
          </w:p>
        </w:tc>
        <w:tc>
          <w:tcPr>
            <w:tcW w:w="5142" w:type="dxa"/>
            <w:shd w:val="clear" w:color="auto" w:fill="auto"/>
          </w:tcPr>
          <w:p w:rsidR="00D97340" w:rsidRDefault="00BB73AE">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that the Benchmarked Rates are within the Upper Quartile; and</w:t>
            </w:r>
          </w:p>
        </w:tc>
      </w:tr>
      <w:tr w:rsidR="00D97340">
        <w:tc>
          <w:tcPr>
            <w:tcW w:w="2900" w:type="dxa"/>
            <w:shd w:val="clear" w:color="auto" w:fill="auto"/>
          </w:tcPr>
          <w:p w:rsidR="00D97340" w:rsidRDefault="00BB73AE">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"Upper Quartile"</w:t>
            </w:r>
          </w:p>
        </w:tc>
        <w:tc>
          <w:tcPr>
            <w:tcW w:w="5142" w:type="dxa"/>
            <w:shd w:val="clear" w:color="auto" w:fill="auto"/>
          </w:tcPr>
          <w:p w:rsidR="00D97340" w:rsidRDefault="00BB73AE">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w:t>
            </w:r>
            <w:r>
              <w:rPr>
                <w:rFonts w:ascii="Arial" w:eastAsia="Arial" w:hAnsi="Arial"/>
                <w:color w:val="000000"/>
                <w:sz w:val="24"/>
                <w:szCs w:val="24"/>
              </w:rPr>
              <w:t>eliverables.</w:t>
            </w:r>
          </w:p>
        </w:tc>
      </w:tr>
    </w:tbl>
    <w:p w:rsidR="00D97340" w:rsidRDefault="00BB73AE">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When you should use this Schedule</w:t>
      </w:r>
    </w:p>
    <w:p w:rsidR="00D97340" w:rsidRDefault="00BB73AE">
      <w:pPr>
        <w:numPr>
          <w:ilvl w:val="1"/>
          <w:numId w:val="1"/>
        </w:numPr>
        <w:pBdr>
          <w:top w:val="nil"/>
          <w:left w:val="nil"/>
          <w:bottom w:val="nil"/>
          <w:right w:val="nil"/>
          <w:between w:val="nil"/>
        </w:pBdr>
        <w:tabs>
          <w:tab w:val="left" w:pos="1134"/>
        </w:tabs>
        <w:spacing w:before="120" w:after="120"/>
        <w:ind w:left="993" w:hanging="567"/>
        <w:rPr>
          <w:color w:val="000000"/>
          <w:sz w:val="24"/>
          <w:szCs w:val="24"/>
        </w:rPr>
      </w:pPr>
      <w:r>
        <w:rPr>
          <w:rFonts w:ascii="Arial" w:eastAsia="Arial" w:hAnsi="Arial"/>
          <w:color w:val="000000"/>
          <w:sz w:val="24"/>
          <w:szCs w:val="24"/>
        </w:rPr>
        <w:t xml:space="preserve">The Supplier acknowledges that the Relevant Authority wishes to ensure that the Deliverables, represent value for money to the taxpayer throughout the Contract Period.  </w:t>
      </w:r>
    </w:p>
    <w:p w:rsidR="00D97340" w:rsidRDefault="00BB73AE">
      <w:pPr>
        <w:numPr>
          <w:ilvl w:val="1"/>
          <w:numId w:val="1"/>
        </w:numPr>
        <w:pBdr>
          <w:top w:val="nil"/>
          <w:left w:val="nil"/>
          <w:bottom w:val="nil"/>
          <w:right w:val="nil"/>
          <w:between w:val="nil"/>
        </w:pBdr>
        <w:tabs>
          <w:tab w:val="left" w:pos="1134"/>
        </w:tabs>
        <w:spacing w:before="120" w:after="120"/>
        <w:ind w:left="993" w:hanging="567"/>
        <w:rPr>
          <w:rFonts w:ascii="Arial" w:eastAsia="Arial" w:hAnsi="Arial"/>
          <w:color w:val="000000"/>
          <w:sz w:val="24"/>
          <w:szCs w:val="24"/>
        </w:rPr>
      </w:pPr>
      <w:r>
        <w:rPr>
          <w:rFonts w:ascii="Arial" w:eastAsia="Arial" w:hAnsi="Arial"/>
          <w:color w:val="000000"/>
          <w:sz w:val="24"/>
          <w:szCs w:val="24"/>
        </w:rPr>
        <w:t>This Schedule sets to ensure the Contracts represent value for money throughout and that the Relevant Authority may terminate the Contract by issuing a Termination Notice to the Supplier if the Supplier refuses or fails to comply with its obligations as se</w:t>
      </w:r>
      <w:r>
        <w:rPr>
          <w:rFonts w:ascii="Arial" w:eastAsia="Arial" w:hAnsi="Arial"/>
          <w:color w:val="000000"/>
          <w:sz w:val="24"/>
          <w:szCs w:val="24"/>
        </w:rPr>
        <w:t xml:space="preserve">t out in Paragraphs 3 of this Schedule. </w:t>
      </w:r>
    </w:p>
    <w:p w:rsidR="00D97340" w:rsidRDefault="00BB73AE">
      <w:pPr>
        <w:numPr>
          <w:ilvl w:val="1"/>
          <w:numId w:val="1"/>
        </w:numPr>
        <w:pBdr>
          <w:top w:val="nil"/>
          <w:left w:val="nil"/>
          <w:bottom w:val="nil"/>
          <w:right w:val="nil"/>
          <w:between w:val="nil"/>
        </w:pBdr>
        <w:tabs>
          <w:tab w:val="left" w:pos="1134"/>
        </w:tabs>
        <w:spacing w:before="120" w:after="120"/>
        <w:ind w:left="993" w:hanging="567"/>
        <w:rPr>
          <w:color w:val="000000"/>
          <w:sz w:val="24"/>
          <w:szCs w:val="24"/>
        </w:rPr>
      </w:pPr>
      <w:r>
        <w:rPr>
          <w:rFonts w:ascii="Arial" w:eastAsia="Arial" w:hAnsi="Arial"/>
          <w:color w:val="000000"/>
          <w:sz w:val="24"/>
          <w:szCs w:val="24"/>
        </w:rPr>
        <w:t>The Relevant Authority and the Supplier recognise that, where specified in Framework Schedule 4 (Framework Management), the Buyer may give CCS the right to enforce the Buyer's rights under this Schedule.</w:t>
      </w:r>
    </w:p>
    <w:p w:rsidR="00D97340" w:rsidRDefault="00BB73AE">
      <w:pPr>
        <w:numPr>
          <w:ilvl w:val="1"/>
          <w:numId w:val="1"/>
        </w:numPr>
        <w:pBdr>
          <w:top w:val="nil"/>
          <w:left w:val="nil"/>
          <w:bottom w:val="nil"/>
          <w:right w:val="nil"/>
          <w:between w:val="nil"/>
        </w:pBdr>
        <w:tabs>
          <w:tab w:val="left" w:pos="1134"/>
        </w:tabs>
        <w:spacing w:before="120" w:after="120"/>
        <w:ind w:left="993" w:hanging="567"/>
        <w:rPr>
          <w:rFonts w:ascii="Arial" w:eastAsia="Arial" w:hAnsi="Arial"/>
          <w:color w:val="000000"/>
          <w:sz w:val="24"/>
          <w:szCs w:val="24"/>
        </w:rPr>
      </w:pPr>
      <w:r>
        <w:rPr>
          <w:rFonts w:ascii="Arial" w:eastAsia="Arial" w:hAnsi="Arial"/>
          <w:color w:val="000000"/>
          <w:sz w:val="24"/>
          <w:szCs w:val="24"/>
        </w:rPr>
        <w:t>Amounts pay</w:t>
      </w:r>
      <w:r>
        <w:rPr>
          <w:rFonts w:ascii="Arial" w:eastAsia="Arial" w:hAnsi="Arial"/>
          <w:color w:val="000000"/>
          <w:sz w:val="24"/>
          <w:szCs w:val="24"/>
        </w:rPr>
        <w:t>able under this Schedule shall not fall with the definition of a Cost.</w:t>
      </w:r>
    </w:p>
    <w:p w:rsidR="00D97340" w:rsidRDefault="00D97340">
      <w:pPr>
        <w:pBdr>
          <w:top w:val="nil"/>
          <w:left w:val="nil"/>
          <w:bottom w:val="nil"/>
          <w:right w:val="nil"/>
          <w:between w:val="nil"/>
        </w:pBdr>
        <w:tabs>
          <w:tab w:val="left" w:pos="1134"/>
        </w:tabs>
        <w:spacing w:before="120" w:after="120"/>
        <w:ind w:left="936" w:hanging="576"/>
        <w:rPr>
          <w:rFonts w:ascii="Arial" w:eastAsia="Arial" w:hAnsi="Arial"/>
          <w:color w:val="000000"/>
          <w:sz w:val="24"/>
          <w:szCs w:val="24"/>
        </w:rPr>
      </w:pPr>
    </w:p>
    <w:p w:rsidR="00D97340" w:rsidRDefault="00BB73AE">
      <w:pPr>
        <w:keepNext/>
        <w:numPr>
          <w:ilvl w:val="0"/>
          <w:numId w:val="1"/>
        </w:numPr>
        <w:pBdr>
          <w:top w:val="nil"/>
          <w:left w:val="nil"/>
          <w:bottom w:val="nil"/>
          <w:right w:val="nil"/>
          <w:between w:val="nil"/>
        </w:pBdr>
        <w:tabs>
          <w:tab w:val="left" w:pos="142"/>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Benchmarking</w:t>
      </w:r>
    </w:p>
    <w:p w:rsidR="00D97340" w:rsidRDefault="00BB73AE">
      <w:pPr>
        <w:keepNext/>
        <w:numPr>
          <w:ilvl w:val="1"/>
          <w:numId w:val="1"/>
        </w:numPr>
        <w:pBdr>
          <w:top w:val="nil"/>
          <w:left w:val="nil"/>
          <w:bottom w:val="nil"/>
          <w:right w:val="nil"/>
          <w:between w:val="nil"/>
        </w:pBdr>
        <w:tabs>
          <w:tab w:val="left" w:pos="1134"/>
        </w:tabs>
        <w:spacing w:before="120" w:after="120"/>
        <w:rPr>
          <w:color w:val="000000"/>
          <w:sz w:val="24"/>
          <w:szCs w:val="24"/>
        </w:rPr>
      </w:pPr>
      <w:r>
        <w:rPr>
          <w:rFonts w:ascii="Arial" w:eastAsia="Arial" w:hAnsi="Arial"/>
          <w:b/>
          <w:color w:val="000000"/>
          <w:sz w:val="24"/>
          <w:szCs w:val="24"/>
        </w:rPr>
        <w:t>How benchmarking works</w:t>
      </w:r>
    </w:p>
    <w:p w:rsidR="00D97340" w:rsidRDefault="00BB73AE">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Relevant Authority may, by written notice to the Supplier, require a Benchmark Review of any or all of the Deliverables.</w:t>
      </w:r>
    </w:p>
    <w:p w:rsidR="00D97340" w:rsidRDefault="00BB73AE">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 Relevant Authority shall not be entitled to request a Benchmark Review during the first six (6) Month period from the Contract Commencement Date or at intervals of less than twelve (12) Months after any previous Benchmark Review. </w:t>
      </w:r>
    </w:p>
    <w:p w:rsidR="00D97340" w:rsidRDefault="00BB73AE">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purpose of a Benc</w:t>
      </w:r>
      <w:r>
        <w:rPr>
          <w:rFonts w:ascii="Arial" w:eastAsia="Arial" w:hAnsi="Arial"/>
          <w:color w:val="000000"/>
          <w:sz w:val="24"/>
          <w:szCs w:val="24"/>
        </w:rPr>
        <w:t>hmark Review will be to establish whether the Benchmarked Deliverables are, individually and/or as a whole, Good Value.</w:t>
      </w:r>
    </w:p>
    <w:p w:rsidR="00D97340" w:rsidRDefault="00BB73AE">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Deliverables that are to be the Benchmarked Deliverables will be identified by the Relevant Authority in writing.</w:t>
      </w:r>
    </w:p>
    <w:p w:rsidR="00D97340" w:rsidRDefault="00BB73AE">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Upon its request f</w:t>
      </w:r>
      <w:r>
        <w:rPr>
          <w:rFonts w:ascii="Arial" w:eastAsia="Arial" w:hAnsi="Arial"/>
          <w:color w:val="000000"/>
          <w:sz w:val="24"/>
          <w:szCs w:val="24"/>
        </w:rPr>
        <w:t>or a Benchmark Review the Relevant Authority shall nominate a benchmarker.  The Supplier must approve the nomination within ten (10) Working Days unless the Supplier provides a reasonable explanation for rejecting the appointment.   If the appointment is r</w:t>
      </w:r>
      <w:r>
        <w:rPr>
          <w:rFonts w:ascii="Arial" w:eastAsia="Arial" w:hAnsi="Arial"/>
          <w:color w:val="000000"/>
          <w:sz w:val="24"/>
          <w:szCs w:val="24"/>
        </w:rPr>
        <w:t xml:space="preserve">ejected then the Relevant Authority may propose an alternative benchmarker.  If the Parties cannot agree the appointment within twenty (20) days of the initial request for Benchmark review then a benchmarker shall be selected by the Chartered Institute of </w:t>
      </w:r>
      <w:r>
        <w:rPr>
          <w:rFonts w:ascii="Arial" w:eastAsia="Arial" w:hAnsi="Arial"/>
          <w:color w:val="000000"/>
          <w:sz w:val="24"/>
          <w:szCs w:val="24"/>
        </w:rPr>
        <w:t xml:space="preserve">Financial Accountants. </w:t>
      </w:r>
    </w:p>
    <w:p w:rsidR="00D97340" w:rsidRDefault="00BB73AE">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cost of a benchmarker shall be borne by the Relevant Authority (provided that each Party shall bear its own internal costs of the Benchmark Review) except where the Benchmark Review demonstrates that the Benchmarked Service and/</w:t>
      </w:r>
      <w:r>
        <w:rPr>
          <w:rFonts w:ascii="Arial" w:eastAsia="Arial" w:hAnsi="Arial"/>
          <w:color w:val="000000"/>
          <w:sz w:val="24"/>
          <w:szCs w:val="24"/>
        </w:rPr>
        <w:t xml:space="preserve">or the Benchmarked Deliverables are not Good Value, in which case the Parties shall share the cost of the benchmarker in such proportions as the Parties agree (acting reasonably). Invoices by the benchmarker shall be raised </w:t>
      </w:r>
      <w:r>
        <w:rPr>
          <w:rFonts w:ascii="Arial" w:eastAsia="Arial" w:hAnsi="Arial"/>
          <w:color w:val="000000"/>
          <w:sz w:val="24"/>
          <w:szCs w:val="24"/>
        </w:rPr>
        <w:lastRenderedPageBreak/>
        <w:t>against the Supplier and the rel</w:t>
      </w:r>
      <w:r>
        <w:rPr>
          <w:rFonts w:ascii="Arial" w:eastAsia="Arial" w:hAnsi="Arial"/>
          <w:color w:val="000000"/>
          <w:sz w:val="24"/>
          <w:szCs w:val="24"/>
        </w:rPr>
        <w:t>evant portion shall be reimbursed by the Relevant Authority.</w:t>
      </w:r>
    </w:p>
    <w:p w:rsidR="00D97340" w:rsidRDefault="00BB73AE">
      <w:pPr>
        <w:keepNext/>
        <w:numPr>
          <w:ilvl w:val="1"/>
          <w:numId w:val="1"/>
        </w:numPr>
        <w:pBdr>
          <w:top w:val="nil"/>
          <w:left w:val="nil"/>
          <w:bottom w:val="nil"/>
          <w:right w:val="nil"/>
          <w:between w:val="nil"/>
        </w:pBdr>
        <w:tabs>
          <w:tab w:val="left" w:pos="1134"/>
        </w:tabs>
        <w:spacing w:before="120" w:after="120"/>
        <w:rPr>
          <w:color w:val="000000"/>
          <w:sz w:val="24"/>
          <w:szCs w:val="24"/>
        </w:rPr>
      </w:pPr>
      <w:r>
        <w:rPr>
          <w:rFonts w:ascii="Arial" w:eastAsia="Arial" w:hAnsi="Arial"/>
          <w:b/>
          <w:color w:val="000000"/>
          <w:sz w:val="24"/>
          <w:szCs w:val="24"/>
        </w:rPr>
        <w:t>Benchmarking Process</w:t>
      </w:r>
    </w:p>
    <w:p w:rsidR="00D97340" w:rsidRDefault="00BB73AE">
      <w:pPr>
        <w:keepNext/>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1" w:name="_heading=h.gjdgxs" w:colFirst="0" w:colLast="0"/>
      <w:bookmarkEnd w:id="1"/>
      <w:r>
        <w:rPr>
          <w:rFonts w:ascii="Arial" w:eastAsia="Arial" w:hAnsi="Arial"/>
          <w:color w:val="000000"/>
          <w:sz w:val="24"/>
          <w:szCs w:val="24"/>
        </w:rPr>
        <w:t>The benchmarker shall produce and send to the Relevant Authority, for Approval, a draft plan for the Benchmark Review which must include:</w:t>
      </w:r>
    </w:p>
    <w:p w:rsidR="00D97340" w:rsidRDefault="00BB73AE">
      <w:pPr>
        <w:numPr>
          <w:ilvl w:val="3"/>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 proposed cost and timetable for the Benchmark Review;</w:t>
      </w:r>
    </w:p>
    <w:p w:rsidR="00D97340" w:rsidRDefault="00BB73AE">
      <w:pPr>
        <w:numPr>
          <w:ilvl w:val="3"/>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 description of the benchmarking methodology to be used which must demonstrate that the methodology to be used is capable of fulfilling the benchmarking purpose; and</w:t>
      </w:r>
    </w:p>
    <w:p w:rsidR="00D97340" w:rsidRDefault="00BB73AE">
      <w:pPr>
        <w:numPr>
          <w:ilvl w:val="3"/>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 description of how the benchmar</w:t>
      </w:r>
      <w:r>
        <w:rPr>
          <w:rFonts w:ascii="Arial" w:eastAsia="Arial" w:hAnsi="Arial"/>
          <w:color w:val="000000"/>
          <w:sz w:val="24"/>
          <w:szCs w:val="24"/>
        </w:rPr>
        <w:t xml:space="preserve">ker will scope and identify the Comparison Group. </w:t>
      </w:r>
    </w:p>
    <w:p w:rsidR="00D97340" w:rsidRDefault="00BB73AE">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 xml:space="preserve">The benchmarker, acting reasonably, shall be entitled to use any model to determine the achievement of value for money and to carry out the benchmarking. </w:t>
      </w:r>
    </w:p>
    <w:p w:rsidR="00D97340" w:rsidRDefault="00BB73AE">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The Relevant Authority must give notice in writing</w:t>
      </w:r>
      <w:r>
        <w:rPr>
          <w:rFonts w:ascii="Arial" w:eastAsia="Arial" w:hAnsi="Arial"/>
          <w:color w:val="000000"/>
          <w:sz w:val="24"/>
          <w:szCs w:val="24"/>
        </w:rPr>
        <w:t xml:space="preserve"> to the Supplier within ten (10) Working Days after receiving the draft plan, advising the benchmarker and the Supplier whether it Approves the draft plan, or, if it does not approve the draft plan, suggesting amendments to that plan (which must be reasona</w:t>
      </w:r>
      <w:r>
        <w:rPr>
          <w:rFonts w:ascii="Arial" w:eastAsia="Arial" w:hAnsi="Arial"/>
          <w:color w:val="000000"/>
          <w:sz w:val="24"/>
          <w:szCs w:val="24"/>
        </w:rPr>
        <w:t>ble). If amendments are suggested then the benchmarker must produce an amended draft plan and this Paragraph 3.2.3 shall apply to any amended draft plan.</w:t>
      </w:r>
    </w:p>
    <w:p w:rsidR="00D97340" w:rsidRDefault="00BB73AE">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Once both Parties have approved the draft plan then they will notify the benchmarker.  No Party may unreasonably withhold or delay its Approval of the draft plan.</w:t>
      </w:r>
    </w:p>
    <w:p w:rsidR="00D97340" w:rsidRDefault="00BB73AE">
      <w:pPr>
        <w:keepNext/>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Once it has received the Approval of the draft plan, the benchmarker shall:</w:t>
      </w:r>
    </w:p>
    <w:p w:rsidR="00D97340" w:rsidRDefault="00BB73AE">
      <w:pPr>
        <w:numPr>
          <w:ilvl w:val="3"/>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finalise the Comp</w:t>
      </w:r>
      <w:r>
        <w:rPr>
          <w:rFonts w:ascii="Arial" w:eastAsia="Arial" w:hAnsi="Arial"/>
          <w:color w:val="000000"/>
          <w:sz w:val="24"/>
          <w:szCs w:val="24"/>
        </w:rPr>
        <w:t>arison Group and collect data relating to Comparable Rates. The selection of the Comparable Rates (both in terms of number and identity) shall be a matter for the Supplier's professional judgment using:</w:t>
      </w:r>
    </w:p>
    <w:p w:rsidR="00D97340" w:rsidRDefault="00BB73AE">
      <w:pPr>
        <w:numPr>
          <w:ilvl w:val="4"/>
          <w:numId w:val="1"/>
        </w:numPr>
        <w:pBdr>
          <w:top w:val="nil"/>
          <w:left w:val="nil"/>
          <w:bottom w:val="nil"/>
          <w:right w:val="nil"/>
          <w:between w:val="nil"/>
        </w:pBdr>
        <w:tabs>
          <w:tab w:val="left" w:pos="3119"/>
        </w:tabs>
        <w:spacing w:before="120" w:after="120"/>
        <w:ind w:left="2552" w:hanging="425"/>
        <w:rPr>
          <w:rFonts w:ascii="Arial" w:eastAsia="Arial" w:hAnsi="Arial"/>
          <w:color w:val="000000"/>
          <w:sz w:val="24"/>
          <w:szCs w:val="24"/>
        </w:rPr>
      </w:pPr>
      <w:r>
        <w:rPr>
          <w:rFonts w:ascii="Arial" w:eastAsia="Arial" w:hAnsi="Arial"/>
          <w:color w:val="000000"/>
          <w:sz w:val="24"/>
          <w:szCs w:val="24"/>
        </w:rPr>
        <w:t>market intelligence;</w:t>
      </w:r>
    </w:p>
    <w:p w:rsidR="00D97340" w:rsidRDefault="00BB73AE">
      <w:pPr>
        <w:numPr>
          <w:ilvl w:val="4"/>
          <w:numId w:val="1"/>
        </w:numPr>
        <w:pBdr>
          <w:top w:val="nil"/>
          <w:left w:val="nil"/>
          <w:bottom w:val="nil"/>
          <w:right w:val="nil"/>
          <w:between w:val="nil"/>
        </w:pBdr>
        <w:tabs>
          <w:tab w:val="left" w:pos="3119"/>
        </w:tabs>
        <w:spacing w:before="120" w:after="120"/>
        <w:ind w:left="2552" w:hanging="470"/>
        <w:rPr>
          <w:rFonts w:ascii="Arial" w:eastAsia="Arial" w:hAnsi="Arial"/>
          <w:color w:val="000000"/>
          <w:sz w:val="24"/>
          <w:szCs w:val="24"/>
        </w:rPr>
      </w:pPr>
      <w:r>
        <w:rPr>
          <w:rFonts w:ascii="Arial" w:eastAsia="Arial" w:hAnsi="Arial"/>
          <w:color w:val="000000"/>
          <w:sz w:val="24"/>
          <w:szCs w:val="24"/>
        </w:rPr>
        <w:t>the benchmarker’s own data and experience;</w:t>
      </w:r>
    </w:p>
    <w:p w:rsidR="00D97340" w:rsidRDefault="00BB73AE">
      <w:pPr>
        <w:numPr>
          <w:ilvl w:val="4"/>
          <w:numId w:val="1"/>
        </w:numPr>
        <w:pBdr>
          <w:top w:val="nil"/>
          <w:left w:val="nil"/>
          <w:bottom w:val="nil"/>
          <w:right w:val="nil"/>
          <w:between w:val="nil"/>
        </w:pBdr>
        <w:tabs>
          <w:tab w:val="left" w:pos="3119"/>
        </w:tabs>
        <w:spacing w:before="120" w:after="120"/>
        <w:ind w:left="2552" w:hanging="470"/>
        <w:rPr>
          <w:rFonts w:ascii="Arial" w:eastAsia="Arial" w:hAnsi="Arial"/>
          <w:color w:val="000000"/>
          <w:sz w:val="24"/>
          <w:szCs w:val="24"/>
        </w:rPr>
      </w:pPr>
      <w:r>
        <w:rPr>
          <w:rFonts w:ascii="Arial" w:eastAsia="Arial" w:hAnsi="Arial"/>
          <w:color w:val="000000"/>
          <w:sz w:val="24"/>
          <w:szCs w:val="24"/>
        </w:rPr>
        <w:t>relevant published information; and</w:t>
      </w:r>
    </w:p>
    <w:p w:rsidR="00D97340" w:rsidRDefault="00BB73AE">
      <w:pPr>
        <w:numPr>
          <w:ilvl w:val="4"/>
          <w:numId w:val="1"/>
        </w:numPr>
        <w:pBdr>
          <w:top w:val="nil"/>
          <w:left w:val="nil"/>
          <w:bottom w:val="nil"/>
          <w:right w:val="nil"/>
          <w:between w:val="nil"/>
        </w:pBdr>
        <w:tabs>
          <w:tab w:val="left" w:pos="3119"/>
        </w:tabs>
        <w:spacing w:before="120" w:after="120"/>
        <w:ind w:left="2552" w:hanging="470"/>
        <w:rPr>
          <w:rFonts w:ascii="Arial" w:eastAsia="Arial" w:hAnsi="Arial"/>
          <w:color w:val="000000"/>
          <w:sz w:val="24"/>
          <w:szCs w:val="24"/>
        </w:rPr>
      </w:pPr>
      <w:r>
        <w:rPr>
          <w:rFonts w:ascii="Arial" w:eastAsia="Arial" w:hAnsi="Arial"/>
          <w:color w:val="000000"/>
          <w:sz w:val="24"/>
          <w:szCs w:val="24"/>
        </w:rPr>
        <w:t>pursuant to Paragraph 3.2.6  below, information from other suppliers or purchasers on Comparable Rates;</w:t>
      </w:r>
    </w:p>
    <w:p w:rsidR="00D97340" w:rsidRDefault="00BB73AE">
      <w:pPr>
        <w:numPr>
          <w:ilvl w:val="3"/>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by applying the adjustment factors listed in Paragraph 3.2.7 and from an </w:t>
      </w:r>
      <w:r>
        <w:rPr>
          <w:rFonts w:ascii="Arial" w:eastAsia="Arial" w:hAnsi="Arial"/>
          <w:color w:val="000000"/>
          <w:sz w:val="24"/>
          <w:szCs w:val="24"/>
        </w:rPr>
        <w:t>analysis of the Comparable Rates, derive the Equivalent Data;</w:t>
      </w:r>
    </w:p>
    <w:p w:rsidR="00D97340" w:rsidRDefault="00BB73AE">
      <w:pPr>
        <w:numPr>
          <w:ilvl w:val="3"/>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using the Equivalent Data, calculate the Upper Quartile;</w:t>
      </w:r>
    </w:p>
    <w:p w:rsidR="00D97340" w:rsidRDefault="00BB73AE">
      <w:pPr>
        <w:numPr>
          <w:ilvl w:val="3"/>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determine whether or not each Benchmarked Rate is, and/or the Benchmarked Rates as a whole are, Good Value.</w:t>
      </w:r>
    </w:p>
    <w:p w:rsidR="00D97340" w:rsidRDefault="00BB73AE">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lastRenderedPageBreak/>
        <w:t>The Supplier shall use all reasonable endeavours and act in good faith to supply information required by the benchmarker in order to undertake the benchmarking.  The Supplier agrees to use its reasonable endeavours to obtain information from other supplier</w:t>
      </w:r>
      <w:r>
        <w:rPr>
          <w:rFonts w:ascii="Arial" w:eastAsia="Arial" w:hAnsi="Arial"/>
          <w:color w:val="000000"/>
          <w:sz w:val="24"/>
          <w:szCs w:val="24"/>
        </w:rPr>
        <w:t>s or purchasers on Comparable Rates.</w:t>
      </w:r>
    </w:p>
    <w:p w:rsidR="00D97340" w:rsidRDefault="00BB73AE">
      <w:pPr>
        <w:keepNext/>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In carrying out the benchmarking analysis the benchmarker may have regard to the following matters when performing a comparative assessment of the Benchmarked Rates and the Comparable Rates in order to derive Equivalent</w:t>
      </w:r>
      <w:r>
        <w:rPr>
          <w:rFonts w:ascii="Arial" w:eastAsia="Arial" w:hAnsi="Arial"/>
          <w:color w:val="000000"/>
          <w:sz w:val="24"/>
          <w:szCs w:val="24"/>
        </w:rPr>
        <w:t xml:space="preserve"> Data:</w:t>
      </w:r>
    </w:p>
    <w:p w:rsidR="00D97340" w:rsidRDefault="00BB73AE">
      <w:pPr>
        <w:numPr>
          <w:ilvl w:val="3"/>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contractual terms and business environment under which the Comparable Rates are being provided (including the scale and geographical spread of the customers);</w:t>
      </w:r>
    </w:p>
    <w:p w:rsidR="00D97340" w:rsidRDefault="00BB73AE">
      <w:pPr>
        <w:numPr>
          <w:ilvl w:val="3"/>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exchange rates;</w:t>
      </w:r>
    </w:p>
    <w:p w:rsidR="00D97340" w:rsidRDefault="00BB73AE">
      <w:pPr>
        <w:numPr>
          <w:ilvl w:val="3"/>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any other factors reasonably identified by the Supplier, which, if not</w:t>
      </w:r>
      <w:r>
        <w:rPr>
          <w:rFonts w:ascii="Arial" w:eastAsia="Arial" w:hAnsi="Arial"/>
          <w:color w:val="000000"/>
          <w:sz w:val="24"/>
          <w:szCs w:val="24"/>
        </w:rPr>
        <w:t xml:space="preserve"> taken into consideration, could unfairly cause the Supplier's pricing to appear non-competitive.</w:t>
      </w:r>
    </w:p>
    <w:p w:rsidR="00D97340" w:rsidRDefault="00BB73AE">
      <w:pPr>
        <w:keepNext/>
        <w:numPr>
          <w:ilvl w:val="1"/>
          <w:numId w:val="1"/>
        </w:numPr>
        <w:pBdr>
          <w:top w:val="nil"/>
          <w:left w:val="nil"/>
          <w:bottom w:val="nil"/>
          <w:right w:val="nil"/>
          <w:between w:val="nil"/>
        </w:pBdr>
        <w:tabs>
          <w:tab w:val="left" w:pos="1134"/>
        </w:tabs>
        <w:spacing w:before="120" w:after="120"/>
        <w:ind w:left="648" w:hanging="222"/>
        <w:rPr>
          <w:color w:val="000000"/>
          <w:sz w:val="24"/>
          <w:szCs w:val="24"/>
        </w:rPr>
      </w:pPr>
      <w:r>
        <w:rPr>
          <w:rFonts w:ascii="Arial" w:eastAsia="Arial" w:hAnsi="Arial"/>
          <w:b/>
          <w:color w:val="000000"/>
          <w:sz w:val="24"/>
          <w:szCs w:val="24"/>
        </w:rPr>
        <w:t>Benchmarking Report</w:t>
      </w:r>
    </w:p>
    <w:p w:rsidR="00D97340" w:rsidRDefault="00BB73AE">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For the purposes of this Schedule </w:t>
      </w:r>
      <w:r>
        <w:rPr>
          <w:rFonts w:ascii="Arial" w:eastAsia="Arial" w:hAnsi="Arial"/>
          <w:b/>
          <w:color w:val="000000"/>
          <w:sz w:val="24"/>
          <w:szCs w:val="24"/>
        </w:rPr>
        <w:t>"Benchmarking Report"</w:t>
      </w:r>
      <w:r>
        <w:rPr>
          <w:rFonts w:ascii="Arial" w:eastAsia="Arial" w:hAnsi="Arial"/>
          <w:color w:val="000000"/>
          <w:sz w:val="24"/>
          <w:szCs w:val="24"/>
        </w:rPr>
        <w:t xml:space="preserve"> shall mean the report produced by the benchmarker following the Benchmark Review and as further described in this Schedule;</w:t>
      </w:r>
    </w:p>
    <w:p w:rsidR="00D97340" w:rsidRDefault="00BB73AE">
      <w:pPr>
        <w:keepNext/>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benchmarker shall prepare a Benchmarking Report and deliver it to the Relevant Authority, at the time specified in the plan App</w:t>
      </w:r>
      <w:r>
        <w:rPr>
          <w:rFonts w:ascii="Arial" w:eastAsia="Arial" w:hAnsi="Arial"/>
          <w:color w:val="000000"/>
          <w:sz w:val="24"/>
          <w:szCs w:val="24"/>
        </w:rPr>
        <w:t>roved pursuant to Paragraph 3.2.3, setting out its findings.  Those findings shall be required to:</w:t>
      </w:r>
    </w:p>
    <w:p w:rsidR="00D97340" w:rsidRDefault="00BB73AE">
      <w:pPr>
        <w:numPr>
          <w:ilvl w:val="3"/>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a finding as to whether or not a Benchmarked Service and/or whether the Benchmarked Deliverables as a whole are, Good Value;</w:t>
      </w:r>
    </w:p>
    <w:p w:rsidR="00D97340" w:rsidRDefault="00BB73AE">
      <w:pPr>
        <w:numPr>
          <w:ilvl w:val="3"/>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rsidR="00D97340" w:rsidRDefault="00BB73AE">
      <w:pPr>
        <w:numPr>
          <w:ilvl w:val="3"/>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sufficient detail and tr</w:t>
      </w:r>
      <w:r>
        <w:rPr>
          <w:rFonts w:ascii="Arial" w:eastAsia="Arial" w:hAnsi="Arial"/>
          <w:color w:val="000000"/>
          <w:sz w:val="24"/>
          <w:szCs w:val="24"/>
        </w:rPr>
        <w:t>ansparency so that the Party requesting the Benchmarking can interpret and understand how the Supplier has calculated whether or not the Benchmarked Deliverables are, individually or as a whole, Good Value.</w:t>
      </w:r>
    </w:p>
    <w:p w:rsidR="00D97340" w:rsidRDefault="00BB73AE">
      <w:pPr>
        <w:numPr>
          <w:ilvl w:val="2"/>
          <w:numId w:val="1"/>
        </w:numPr>
        <w:pBdr>
          <w:top w:val="nil"/>
          <w:left w:val="nil"/>
          <w:bottom w:val="nil"/>
          <w:right w:val="nil"/>
          <w:between w:val="nil"/>
        </w:pBdr>
        <w:tabs>
          <w:tab w:val="left" w:pos="1985"/>
        </w:tabs>
        <w:spacing w:before="120" w:after="120"/>
      </w:pPr>
      <w:bookmarkStart w:id="6" w:name="_heading=h.tyjcwt" w:colFirst="0" w:colLast="0"/>
      <w:bookmarkEnd w:id="6"/>
      <w:r>
        <w:rPr>
          <w:rFonts w:ascii="Arial" w:eastAsia="Arial" w:hAnsi="Arial"/>
          <w:color w:val="000000"/>
          <w:sz w:val="24"/>
          <w:szCs w:val="24"/>
        </w:rPr>
        <w:t>The Parties agree that any changes required to th</w:t>
      </w:r>
      <w:r>
        <w:rPr>
          <w:rFonts w:ascii="Arial" w:eastAsia="Arial" w:hAnsi="Arial"/>
          <w:color w:val="000000"/>
          <w:sz w:val="24"/>
          <w:szCs w:val="24"/>
        </w:rPr>
        <w:t>is Contract identified in the Benchmarking Report shall be implemented at the direction of the Relevant Authority in accordance with Clause 24 of the Core Terms (Changing the contract).</w:t>
      </w:r>
    </w:p>
    <w:sectPr w:rsidR="00D97340">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73AE" w:rsidRDefault="00BB73AE">
      <w:pPr>
        <w:spacing w:after="0"/>
      </w:pPr>
      <w:r>
        <w:separator/>
      </w:r>
    </w:p>
  </w:endnote>
  <w:endnote w:type="continuationSeparator" w:id="0">
    <w:p w:rsidR="00BB73AE" w:rsidRDefault="00BB73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7340" w:rsidRDefault="00D97340">
    <w:pPr>
      <w:tabs>
        <w:tab w:val="center" w:pos="4513"/>
        <w:tab w:val="right" w:pos="9026"/>
      </w:tabs>
      <w:spacing w:after="0"/>
      <w:rPr>
        <w:rFonts w:ascii="Arial" w:eastAsia="Arial" w:hAnsi="Arial"/>
        <w:sz w:val="20"/>
        <w:szCs w:val="20"/>
      </w:rPr>
    </w:pPr>
  </w:p>
  <w:p w:rsidR="00D97340" w:rsidRDefault="00BB73AE">
    <w:pPr>
      <w:tabs>
        <w:tab w:val="center" w:pos="4513"/>
        <w:tab w:val="right" w:pos="9026"/>
      </w:tabs>
      <w:spacing w:after="0"/>
      <w:rPr>
        <w:rFonts w:ascii="Arial" w:eastAsia="Arial" w:hAnsi="Arial"/>
        <w:sz w:val="20"/>
        <w:szCs w:val="20"/>
      </w:rPr>
    </w:pPr>
    <w:r>
      <w:rPr>
        <w:rFonts w:ascii="Arial" w:eastAsia="Arial" w:hAnsi="Arial"/>
        <w:sz w:val="20"/>
        <w:szCs w:val="20"/>
      </w:rPr>
      <w:t>Framework Ref: RM6171</w:t>
    </w:r>
  </w:p>
  <w:p w:rsidR="00D97340" w:rsidRDefault="00BB73A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0163A0">
      <w:rPr>
        <w:rFonts w:ascii="Arial" w:eastAsia="Arial" w:hAnsi="Arial"/>
        <w:color w:val="000000"/>
        <w:sz w:val="20"/>
        <w:szCs w:val="20"/>
      </w:rPr>
      <w:fldChar w:fldCharType="separate"/>
    </w:r>
    <w:r w:rsidR="000163A0">
      <w:rPr>
        <w:rFonts w:ascii="Arial" w:eastAsia="Arial" w:hAnsi="Arial"/>
        <w:noProof/>
        <w:color w:val="000000"/>
        <w:sz w:val="20"/>
        <w:szCs w:val="20"/>
      </w:rPr>
      <w:t>2</w:t>
    </w:r>
    <w:r>
      <w:rPr>
        <w:rFonts w:ascii="Arial" w:eastAsia="Arial" w:hAnsi="Arial"/>
        <w:color w:val="000000"/>
        <w:sz w:val="20"/>
        <w:szCs w:val="20"/>
      </w:rPr>
      <w:fldChar w:fldCharType="end"/>
    </w:r>
  </w:p>
  <w:p w:rsidR="00D97340" w:rsidRDefault="00BB73AE">
    <w:pPr>
      <w:tabs>
        <w:tab w:val="center" w:pos="4513"/>
        <w:tab w:val="right" w:pos="9026"/>
      </w:tabs>
      <w:spacing w:after="0"/>
    </w:pPr>
    <w:r>
      <w:rPr>
        <w:rFonts w:ascii="Arial" w:eastAsia="Arial" w:hAnsi="Arial"/>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7340" w:rsidRDefault="00BB73AE">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Pr>
        <w:rFonts w:ascii="Arial" w:eastAsia="Arial" w:hAnsi="Arial"/>
        <w:sz w:val="20"/>
        <w:szCs w:val="20"/>
      </w:rPr>
      <w:tab/>
      <w:t xml:space="preserve">                                           </w:t>
    </w:r>
  </w:p>
  <w:p w:rsidR="00D97340" w:rsidRDefault="00BB73A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end"/>
    </w:r>
  </w:p>
  <w:p w:rsidR="00D97340" w:rsidRDefault="00BB73AE">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73AE" w:rsidRDefault="00BB73AE">
      <w:pPr>
        <w:spacing w:after="0"/>
      </w:pPr>
      <w:r>
        <w:separator/>
      </w:r>
    </w:p>
  </w:footnote>
  <w:footnote w:type="continuationSeparator" w:id="0">
    <w:p w:rsidR="00BB73AE" w:rsidRDefault="00BB73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7340" w:rsidRDefault="00BB73A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14 (Benchmarking)</w:t>
    </w:r>
  </w:p>
  <w:p w:rsidR="00D97340" w:rsidRDefault="000163A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2021</w:t>
    </w:r>
  </w:p>
  <w:p w:rsidR="00D97340" w:rsidRDefault="00D97340">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7340" w:rsidRDefault="00BB73AE">
    <w:pPr>
      <w:pBdr>
        <w:top w:val="nil"/>
        <w:left w:val="nil"/>
        <w:bottom w:val="nil"/>
        <w:right w:val="nil"/>
        <w:between w:val="nil"/>
      </w:pBdr>
      <w:tabs>
        <w:tab w:val="center" w:pos="4513"/>
        <w:tab w:val="right" w:pos="9026"/>
      </w:tabs>
      <w:spacing w:after="0"/>
      <w:rPr>
        <w:rFonts w:eastAsia="Calibri" w:cs="Calibri"/>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-13333</wp:posOffset>
          </wp:positionV>
          <wp:extent cx="849085" cy="685627"/>
          <wp:effectExtent l="0" t="0" r="0" b="0"/>
          <wp:wrapNone/>
          <wp:docPr id="2"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84F39"/>
    <w:multiLevelType w:val="multilevel"/>
    <w:tmpl w:val="09FE900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341560E"/>
    <w:multiLevelType w:val="multilevel"/>
    <w:tmpl w:val="2E96B610"/>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928" w:hanging="502"/>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170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409" w:hanging="48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340"/>
    <w:rsid w:val="000163A0"/>
    <w:rsid w:val="00BB73AE"/>
    <w:rsid w:val="00D973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3060F"/>
  <w15:docId w15:val="{52CB68E5-6E26-4189-AC85-D0190E253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left="1920"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2VnD5PGm8Ch/r1bghvoWnzClPwA==">AMUW2mXnIQFBiIW/r9v9MaHsX1TkdkRpbY1VERUU3aSbxswSU9MLlOkcieLI3zP6ji+A576s6BV7qfubEblONisP0uoC1XsUCP9hBh9bvUtbwDmIZMKG96+11ALatz6JbUIzWQHOn6yKE8RjEOoJlh4Aeel/7D/U5Msm0d5ALsCiM/nFVC+lVfQz/jksx2RDV11Ps3w5JDwW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1255</Words>
  <Characters>7160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Ryan</dc:creator>
  <cp:lastModifiedBy>Fiona Ryan</cp:lastModifiedBy>
  <cp:revision>2</cp:revision>
  <dcterms:created xsi:type="dcterms:W3CDTF">2021-01-26T23:27:00Z</dcterms:created>
  <dcterms:modified xsi:type="dcterms:W3CDTF">2021-01-26T23:27:00Z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